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"/>
        <w:gridCol w:w="9306"/>
      </w:tblGrid>
      <w:tr w:rsidR="003B2174">
        <w:tc>
          <w:tcPr>
            <w:tcW w:w="900" w:type="dxa"/>
            <w:tcBorders>
              <w:top w:val="single" w:sz="14" w:space="0" w:color="2E75B6"/>
              <w:left w:val="single" w:sz="14" w:space="0" w:color="2E75B6"/>
              <w:bottom w:val="single" w:sz="14" w:space="0" w:color="2E75B6"/>
              <w:right w:val="single" w:sz="14" w:space="0" w:color="2E75B6"/>
            </w:tcBorders>
            <w:shd w:val="clear" w:color="auto" w:fill="2E75B6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:rsidR="003B2174" w:rsidRDefault="00326D3E">
            <w:pPr>
              <w:spacing w:before="20" w:after="8"/>
            </w:pPr>
            <w:r>
              <w:rPr>
                <w:b/>
                <w:bCs/>
                <w:color w:val="FFFFFF"/>
                <w:sz w:val="34"/>
                <w:szCs w:val="34"/>
              </w:rPr>
              <w:t>3</w:t>
            </w:r>
          </w:p>
          <w:p w:rsidR="003B2174" w:rsidRDefault="00326D3E">
            <w:pPr>
              <w:spacing w:after="20"/>
            </w:pPr>
            <w:r>
              <w:rPr>
                <w:color w:val="BDD7EE"/>
              </w:rPr>
              <w:t>~~~</w:t>
            </w:r>
          </w:p>
        </w:tc>
        <w:tc>
          <w:tcPr>
            <w:tcW w:w="9306" w:type="dxa"/>
            <w:tcBorders>
              <w:top w:val="single" w:sz="14" w:space="0" w:color="2E75B6"/>
              <w:left w:val="single" w:sz="14" w:space="0" w:color="2E75B6"/>
              <w:bottom w:val="single" w:sz="14" w:space="0" w:color="2E75B6"/>
              <w:right w:val="single" w:sz="14" w:space="0" w:color="2E75B6"/>
            </w:tcBorders>
            <w:shd w:val="clear" w:color="auto" w:fill="1F3864"/>
            <w:tcMar>
              <w:top w:w="100" w:type="dxa"/>
              <w:left w:w="180" w:type="dxa"/>
              <w:bottom w:w="100" w:type="dxa"/>
              <w:right w:w="100" w:type="dxa"/>
            </w:tcMar>
            <w:vAlign w:val="center"/>
          </w:tcPr>
          <w:p w:rsidR="003B2174" w:rsidRDefault="00326D3E">
            <w:pPr>
              <w:spacing w:before="20" w:after="8"/>
            </w:pPr>
            <w:r>
              <w:rPr>
                <w:b/>
                <w:bCs/>
                <w:color w:val="FFFFFF"/>
                <w:sz w:val="30"/>
                <w:szCs w:val="30"/>
              </w:rPr>
              <w:t>LES CRUES DU RHÔNE</w:t>
            </w:r>
          </w:p>
          <w:p w:rsidR="003B2174" w:rsidRDefault="00326D3E">
            <w:pPr>
              <w:spacing w:before="8" w:after="20"/>
            </w:pPr>
            <w:r>
              <w:rPr>
                <w:i/>
                <w:iCs/>
              </w:rPr>
              <w:t>Fréquence et hauteurs des inondations à Pont-Saint-Esprit (30130)</w:t>
            </w:r>
          </w:p>
        </w:tc>
      </w:tr>
    </w:tbl>
    <w:p w:rsidR="003B2174" w:rsidRDefault="003B2174">
      <w:pPr>
        <w:spacing w:before="55"/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3B2174">
        <w:tc>
          <w:tcPr>
            <w:tcW w:w="10206" w:type="dxa"/>
            <w:tcBorders>
              <w:top w:val="single" w:sz="8" w:space="0" w:color="2E75B6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D5E8F0"/>
            <w:tcMar>
              <w:top w:w="55" w:type="dxa"/>
              <w:left w:w="130" w:type="dxa"/>
              <w:bottom w:w="55" w:type="dxa"/>
              <w:right w:w="130" w:type="dxa"/>
            </w:tcMar>
          </w:tcPr>
          <w:p w:rsidR="003B2174" w:rsidRDefault="00326D3E">
            <w:pPr>
              <w:spacing w:before="20" w:after="45"/>
            </w:pPr>
            <w:r>
              <w:rPr>
                <w:b/>
                <w:bCs/>
              </w:rPr>
              <w:t>Qu'est-ce qu'une crue ?</w:t>
            </w:r>
          </w:p>
          <w:p w:rsidR="003B2174" w:rsidRDefault="00326D3E">
            <w:pPr>
              <w:spacing w:before="40" w:after="40"/>
            </w:pPr>
            <w:r>
              <w:rPr>
                <w:b/>
                <w:bCs/>
              </w:rPr>
              <w:t>Une crue</w:t>
            </w:r>
            <w:r>
              <w:t xml:space="preserve"> est une montée rapide du niveau du Rhône due à de fortes pluies ou à la fonte des neiges alpines. À Pont-Saint-Esprit, le fleuve peut monter de </w:t>
            </w:r>
            <w:r>
              <w:rPr>
                <w:b/>
                <w:bCs/>
              </w:rPr>
              <w:t>plusieurs mètres en quelques heures</w:t>
            </w:r>
            <w:r>
              <w:t xml:space="preserve"> et déborder : c'est une </w:t>
            </w:r>
            <w:r>
              <w:rPr>
                <w:b/>
                <w:bCs/>
              </w:rPr>
              <w:t>inondation</w:t>
            </w:r>
            <w:r>
              <w:t xml:space="preserve">. Les crues sont mesurées en mètres à la station de jaugeage locale. Le </w:t>
            </w:r>
            <w:r>
              <w:rPr>
                <w:b/>
                <w:bCs/>
              </w:rPr>
              <w:t>débit</w:t>
            </w:r>
            <w:r>
              <w:t xml:space="preserve"> peut dépasser 10 000 m³/s lors des grandes crues (débit habituel : ~700 m³/s).</w:t>
            </w:r>
          </w:p>
        </w:tc>
      </w:tr>
    </w:tbl>
    <w:p w:rsidR="003B2174" w:rsidRDefault="003B2174">
      <w:pPr>
        <w:spacing w:before="45"/>
      </w:pPr>
    </w:p>
    <w:p w:rsidR="003B2174" w:rsidRDefault="00326D3E">
      <w:pPr>
        <w:spacing w:before="25" w:after="45"/>
      </w:pPr>
      <w:r>
        <w:rPr>
          <w:b/>
          <w:bCs/>
          <w:color w:val="C00000"/>
          <w:sz w:val="22"/>
          <w:szCs w:val="22"/>
        </w:rPr>
        <w:t>Tableau des crues historiques à Pont-Saint-Esprit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1300"/>
        <w:gridCol w:w="7406"/>
      </w:tblGrid>
      <w:tr w:rsidR="003B2174">
        <w:tc>
          <w:tcPr>
            <w:tcW w:w="1500" w:type="dxa"/>
            <w:tcBorders>
              <w:top w:val="single" w:sz="10" w:space="0" w:color="C00000"/>
              <w:left w:val="single" w:sz="10" w:space="0" w:color="C00000"/>
              <w:bottom w:val="single" w:sz="10" w:space="0" w:color="C00000"/>
              <w:right w:val="single" w:sz="10" w:space="0" w:color="C00000"/>
            </w:tcBorders>
            <w:shd w:val="clear" w:color="auto" w:fill="C00000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  <w:tc>
          <w:tcPr>
            <w:tcW w:w="1300" w:type="dxa"/>
            <w:tcBorders>
              <w:top w:val="single" w:sz="10" w:space="0" w:color="C00000"/>
              <w:left w:val="single" w:sz="10" w:space="0" w:color="C00000"/>
              <w:bottom w:val="single" w:sz="10" w:space="0" w:color="C00000"/>
              <w:right w:val="single" w:sz="10" w:space="0" w:color="C00000"/>
            </w:tcBorders>
            <w:shd w:val="clear" w:color="auto" w:fill="C00000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FFFFFF"/>
                <w:sz w:val="19"/>
                <w:szCs w:val="19"/>
              </w:rPr>
              <w:t>Hauteur (m)</w:t>
            </w:r>
          </w:p>
        </w:tc>
        <w:tc>
          <w:tcPr>
            <w:tcW w:w="7406" w:type="dxa"/>
            <w:tcBorders>
              <w:top w:val="single" w:sz="10" w:space="0" w:color="C00000"/>
              <w:left w:val="single" w:sz="10" w:space="0" w:color="C00000"/>
              <w:bottom w:val="single" w:sz="10" w:space="0" w:color="C00000"/>
              <w:right w:val="single" w:sz="10" w:space="0" w:color="C00000"/>
            </w:tcBorders>
            <w:shd w:val="clear" w:color="auto" w:fill="C00000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FFFFFF"/>
                <w:sz w:val="19"/>
                <w:szCs w:val="19"/>
              </w:rPr>
              <w:t>Conséquences / Contexte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CE4D6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Novembre 1840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19,1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Ville inondée plusieurs jours. Destructions des quais et habitations riveraines.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CE4D6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Mai 1856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20,2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Plus haute crue connue. Napoléon III visite les sinistrés. Déclenche les grands travaux de digues.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2CC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Octobre 1907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13,9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Inondation des quartiers bas. Premières mesures de surveillance du fleuve.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2CC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Janvier 1955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14,7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Crue hivernale. Les aménagements CNR limitent les dégâts par rapport au XIXe siècle.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Décembre 2003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13,1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Vigilance rouge. Les digues du XXe siècle protègent efficacement la ville basse.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Novembre 2011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12,2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 xml:space="preserve">Alerte orange. </w:t>
            </w:r>
            <w:proofErr w:type="spellStart"/>
            <w:r>
              <w:rPr>
                <w:sz w:val="19"/>
                <w:szCs w:val="19"/>
              </w:rPr>
              <w:t>Vigicrues</w:t>
            </w:r>
            <w:proofErr w:type="spellEnd"/>
            <w:r>
              <w:rPr>
                <w:sz w:val="19"/>
                <w:szCs w:val="19"/>
              </w:rPr>
              <w:t xml:space="preserve"> permet une évacuation préventive des zones à risque.</w:t>
            </w:r>
          </w:p>
        </w:tc>
      </w:tr>
      <w:tr w:rsidR="003B2174">
        <w:tc>
          <w:tcPr>
            <w:tcW w:w="15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color w:val="843C0C"/>
                <w:sz w:val="19"/>
                <w:szCs w:val="19"/>
              </w:rPr>
              <w:t>Janvier 2020</w:t>
            </w:r>
          </w:p>
        </w:tc>
        <w:tc>
          <w:tcPr>
            <w:tcW w:w="1300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b/>
                <w:bCs/>
                <w:sz w:val="19"/>
                <w:szCs w:val="19"/>
              </w:rPr>
              <w:t>11,8 m</w:t>
            </w:r>
          </w:p>
        </w:tc>
        <w:tc>
          <w:tcPr>
            <w:tcW w:w="7406" w:type="dxa"/>
            <w:tcBorders>
              <w:top w:val="single" w:sz="5" w:space="0" w:color="F4AFAB"/>
              <w:left w:val="single" w:sz="5" w:space="0" w:color="F4AFAB"/>
              <w:bottom w:val="single" w:sz="5" w:space="0" w:color="F4AFAB"/>
              <w:right w:val="single" w:sz="5" w:space="0" w:color="F4AFAB"/>
            </w:tcBorders>
            <w:shd w:val="clear" w:color="auto" w:fill="FFFFFF"/>
            <w:tcMar>
              <w:top w:w="35" w:type="dxa"/>
              <w:left w:w="80" w:type="dxa"/>
              <w:bottom w:w="35" w:type="dxa"/>
              <w:right w:w="50" w:type="dxa"/>
            </w:tcMar>
          </w:tcPr>
          <w:p w:rsidR="003B2174" w:rsidRDefault="00326D3E">
            <w:pPr>
              <w:spacing w:before="15" w:after="15"/>
            </w:pPr>
            <w:r>
              <w:rPr>
                <w:sz w:val="19"/>
                <w:szCs w:val="19"/>
              </w:rPr>
              <w:t>Montée rapide en 48 h. Le PPRI (Plan de Prévention du Risque Inondation) délimite les zones dangereuses.</w:t>
            </w:r>
          </w:p>
        </w:tc>
      </w:tr>
    </w:tbl>
    <w:p w:rsidR="00B40D91" w:rsidRDefault="00B40D91">
      <w:pPr>
        <w:spacing w:before="45"/>
        <w:rPr>
          <w:i/>
          <w:iCs/>
        </w:rPr>
      </w:pPr>
      <w:r>
        <w:rPr>
          <w:noProof/>
        </w:rPr>
        <w:drawing>
          <wp:inline distT="0" distB="0" distL="0" distR="0" wp14:anchorId="7A35799C" wp14:editId="70873CFF">
            <wp:extent cx="5519868" cy="2301240"/>
            <wp:effectExtent l="0" t="0" r="508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386" cy="2307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D91">
        <w:rPr>
          <w:i/>
          <w:iCs/>
        </w:rPr>
        <w:t xml:space="preserve"> </w:t>
      </w:r>
    </w:p>
    <w:p w:rsidR="003B2174" w:rsidRDefault="00B40D91">
      <w:pPr>
        <w:spacing w:before="45"/>
      </w:pPr>
      <w:r>
        <w:rPr>
          <w:i/>
          <w:iCs/>
        </w:rPr>
        <w:t>Doc. 1 – Chronologie des crues et des aménagements du Rhône. Les crues récentes sont moins hautes grâce aux digues et barrages.</w:t>
      </w:r>
      <w:r w:rsidR="005E0D73">
        <w:rPr>
          <w:i/>
          <w:iCs/>
        </w:rPr>
        <w:t xml:space="preserve"> (source : document généré par Claude IA)</w:t>
      </w:r>
      <w:bookmarkStart w:id="0" w:name="_GoBack"/>
      <w:bookmarkEnd w:id="0"/>
    </w:p>
    <w:p w:rsidR="003B2174" w:rsidRDefault="003B2174">
      <w:pPr>
        <w:spacing w:before="45"/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3B2174">
        <w:tc>
          <w:tcPr>
            <w:tcW w:w="10206" w:type="dxa"/>
            <w:tcBorders>
              <w:top w:val="single" w:sz="8" w:space="0" w:color="BF8F00"/>
              <w:left w:val="single" w:sz="8" w:space="0" w:color="BF8F00"/>
              <w:bottom w:val="single" w:sz="8" w:space="0" w:color="BF8F00"/>
              <w:right w:val="single" w:sz="8" w:space="0" w:color="BF8F00"/>
            </w:tcBorders>
            <w:shd w:val="clear" w:color="auto" w:fill="FFF2CC"/>
            <w:tcMar>
              <w:top w:w="55" w:type="dxa"/>
              <w:left w:w="130" w:type="dxa"/>
              <w:bottom w:w="55" w:type="dxa"/>
              <w:right w:w="130" w:type="dxa"/>
            </w:tcMar>
          </w:tcPr>
          <w:p w:rsidR="003B2174" w:rsidRDefault="00326D3E">
            <w:pPr>
              <w:spacing w:before="40" w:after="40"/>
            </w:pPr>
            <w:r>
              <w:t xml:space="preserve">Le réchauffement climatique intensifie les </w:t>
            </w:r>
            <w:r>
              <w:rPr>
                <w:b/>
                <w:bCs/>
              </w:rPr>
              <w:t>épisodes cévenols</w:t>
            </w:r>
            <w:r>
              <w:t xml:space="preserve"> (pluies torrentielles automnales). Même avec des digues, le risque de crue majeure reste réel et </w:t>
            </w:r>
            <w:r>
              <w:rPr>
                <w:b/>
                <w:bCs/>
              </w:rPr>
              <w:t>augmente</w:t>
            </w:r>
            <w:r>
              <w:t xml:space="preserve"> avec le dérèglement climatique.</w:t>
            </w:r>
          </w:p>
          <w:p w:rsidR="003B2174" w:rsidRDefault="003B2174">
            <w:pPr>
              <w:spacing w:before="30"/>
            </w:pPr>
          </w:p>
          <w:p w:rsidR="003B2174" w:rsidRDefault="00326D3E">
            <w:pPr>
              <w:spacing w:before="40" w:after="40"/>
            </w:pPr>
            <w:r>
              <w:rPr>
                <w:b/>
                <w:bCs/>
                <w:i/>
                <w:iCs/>
                <w:color w:val="375623"/>
              </w:rPr>
              <w:t xml:space="preserve">One </w:t>
            </w:r>
            <w:proofErr w:type="spellStart"/>
            <w:r>
              <w:rPr>
                <w:b/>
                <w:bCs/>
                <w:i/>
                <w:iCs/>
                <w:color w:val="375623"/>
              </w:rPr>
              <w:t>Health</w:t>
            </w:r>
            <w:proofErr w:type="spellEnd"/>
            <w:r>
              <w:t xml:space="preserve"> : Les inondations contaminent les nappes phréatiques et favorisent les moustiques vecteurs de maladies. </w:t>
            </w:r>
            <w:r>
              <w:rPr>
                <w:i/>
                <w:iCs/>
              </w:rPr>
              <w:t>→ "Une eau polluée par une crue, c'est un risque sanitaire pour toute la population."</w:t>
            </w:r>
          </w:p>
        </w:tc>
      </w:tr>
    </w:tbl>
    <w:p w:rsidR="003B2174" w:rsidRDefault="003B2174">
      <w:pPr>
        <w:spacing w:before="45"/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3B2174">
        <w:tc>
          <w:tcPr>
            <w:tcW w:w="10206" w:type="dxa"/>
            <w:tcBorders>
              <w:top w:val="single" w:sz="10" w:space="0" w:color="2E75B6"/>
              <w:left w:val="single" w:sz="10" w:space="0" w:color="2E75B6"/>
              <w:bottom w:val="single" w:sz="10" w:space="0" w:color="2E75B6"/>
              <w:right w:val="single" w:sz="10" w:space="0" w:color="2E75B6"/>
            </w:tcBorders>
            <w:shd w:val="clear" w:color="auto" w:fill="F2F2F2"/>
            <w:tcMar>
              <w:top w:w="55" w:type="dxa"/>
              <w:left w:w="150" w:type="dxa"/>
              <w:bottom w:w="60" w:type="dxa"/>
              <w:right w:w="150" w:type="dxa"/>
            </w:tcMar>
          </w:tcPr>
          <w:p w:rsidR="003B2174" w:rsidRDefault="00326D3E">
            <w:pPr>
              <w:spacing w:before="25" w:after="55"/>
            </w:pPr>
            <w:r>
              <w:rPr>
                <w:b/>
                <w:bCs/>
                <w:color w:val="1F3864"/>
                <w:sz w:val="22"/>
                <w:szCs w:val="22"/>
              </w:rPr>
              <w:t>VOS MISSIONS :</w:t>
            </w:r>
          </w:p>
          <w:p w:rsidR="003B2174" w:rsidRDefault="00326D3E">
            <w:pPr>
              <w:spacing w:before="25" w:after="25"/>
            </w:pPr>
            <w:proofErr w:type="gramStart"/>
            <w:r>
              <w:rPr>
                <w:b/>
                <w:bCs/>
              </w:rPr>
              <w:t xml:space="preserve">1  </w:t>
            </w:r>
            <w:r>
              <w:t>Analyse</w:t>
            </w:r>
            <w:proofErr w:type="gramEnd"/>
            <w:r>
              <w:t xml:space="preserve"> du Doc. 1 : quelle est la crue la plus haute ? Quelle tendance observes-tu entre les crues du XIXe et du XXIe siècle ?</w:t>
            </w:r>
          </w:p>
          <w:p w:rsidR="003B2174" w:rsidRDefault="00326D3E">
            <w:pPr>
              <w:spacing w:before="25" w:after="25"/>
            </w:pPr>
            <w:proofErr w:type="gramStart"/>
            <w:r>
              <w:rPr>
                <w:b/>
                <w:bCs/>
              </w:rPr>
              <w:t xml:space="preserve">2  </w:t>
            </w:r>
            <w:r w:rsidR="00B40D91">
              <w:t>Analyse</w:t>
            </w:r>
            <w:proofErr w:type="gramEnd"/>
            <w:r w:rsidR="00B40D91">
              <w:t xml:space="preserve"> du Doc. 1</w:t>
            </w:r>
            <w:r>
              <w:t xml:space="preserve"> : comment les aménagements humains ont-ils modifié la hauteur des crues ? Cite deux ouvrages construits.</w:t>
            </w:r>
          </w:p>
          <w:p w:rsidR="003B2174" w:rsidRDefault="00326D3E">
            <w:pPr>
              <w:spacing w:before="25" w:after="25"/>
            </w:pPr>
            <w:proofErr w:type="gramStart"/>
            <w:r>
              <w:rPr>
                <w:b/>
                <w:bCs/>
              </w:rPr>
              <w:t xml:space="preserve">3  </w:t>
            </w:r>
            <w:r>
              <w:t>Calcul</w:t>
            </w:r>
            <w:proofErr w:type="gramEnd"/>
            <w:r>
              <w:t xml:space="preserve"> : entre 1856 et 2020, la crue maximale a diminué de combien de mètres ? Calcule le pourcentage de réduction.</w:t>
            </w:r>
          </w:p>
        </w:tc>
      </w:tr>
    </w:tbl>
    <w:p w:rsidR="00326D3E" w:rsidRDefault="00326D3E"/>
    <w:sectPr w:rsidR="00326D3E">
      <w:pgSz w:w="11906" w:h="16838"/>
      <w:pgMar w:top="480" w:right="580" w:bottom="480" w:left="5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642F0"/>
    <w:multiLevelType w:val="hybridMultilevel"/>
    <w:tmpl w:val="64FEDE9C"/>
    <w:lvl w:ilvl="0" w:tplc="9746D06A">
      <w:start w:val="1"/>
      <w:numFmt w:val="bullet"/>
      <w:lvlText w:val="●"/>
      <w:lvlJc w:val="left"/>
      <w:pPr>
        <w:ind w:left="720" w:hanging="360"/>
      </w:pPr>
    </w:lvl>
    <w:lvl w:ilvl="1" w:tplc="17F2FE6A">
      <w:start w:val="1"/>
      <w:numFmt w:val="bullet"/>
      <w:lvlText w:val="○"/>
      <w:lvlJc w:val="left"/>
      <w:pPr>
        <w:ind w:left="1440" w:hanging="360"/>
      </w:pPr>
    </w:lvl>
    <w:lvl w:ilvl="2" w:tplc="F026A132">
      <w:start w:val="1"/>
      <w:numFmt w:val="bullet"/>
      <w:lvlText w:val="■"/>
      <w:lvlJc w:val="left"/>
      <w:pPr>
        <w:ind w:left="2160" w:hanging="360"/>
      </w:pPr>
    </w:lvl>
    <w:lvl w:ilvl="3" w:tplc="845E7FC4">
      <w:start w:val="1"/>
      <w:numFmt w:val="bullet"/>
      <w:lvlText w:val="●"/>
      <w:lvlJc w:val="left"/>
      <w:pPr>
        <w:ind w:left="2880" w:hanging="360"/>
      </w:pPr>
    </w:lvl>
    <w:lvl w:ilvl="4" w:tplc="19E0EBE4">
      <w:start w:val="1"/>
      <w:numFmt w:val="bullet"/>
      <w:lvlText w:val="○"/>
      <w:lvlJc w:val="left"/>
      <w:pPr>
        <w:ind w:left="3600" w:hanging="360"/>
      </w:pPr>
    </w:lvl>
    <w:lvl w:ilvl="5" w:tplc="37A6308C">
      <w:start w:val="1"/>
      <w:numFmt w:val="bullet"/>
      <w:lvlText w:val="■"/>
      <w:lvlJc w:val="left"/>
      <w:pPr>
        <w:ind w:left="4320" w:hanging="360"/>
      </w:pPr>
    </w:lvl>
    <w:lvl w:ilvl="6" w:tplc="DB4A276C">
      <w:start w:val="1"/>
      <w:numFmt w:val="bullet"/>
      <w:lvlText w:val="●"/>
      <w:lvlJc w:val="left"/>
      <w:pPr>
        <w:ind w:left="5040" w:hanging="360"/>
      </w:pPr>
    </w:lvl>
    <w:lvl w:ilvl="7" w:tplc="CA9EAC64">
      <w:start w:val="1"/>
      <w:numFmt w:val="bullet"/>
      <w:lvlText w:val="●"/>
      <w:lvlJc w:val="left"/>
      <w:pPr>
        <w:ind w:left="5760" w:hanging="360"/>
      </w:pPr>
    </w:lvl>
    <w:lvl w:ilvl="8" w:tplc="0498A65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74"/>
    <w:rsid w:val="00326D3E"/>
    <w:rsid w:val="003B2174"/>
    <w:rsid w:val="005E0D73"/>
    <w:rsid w:val="00B4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1D0BA"/>
  <w15:docId w15:val="{F42F2D2A-9EBA-40B8-9EA5-345E03B4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qFormat/>
    <w:pPr>
      <w:outlineLvl w:val="3"/>
    </w:pPr>
    <w:rPr>
      <w:i/>
      <w:iCs/>
      <w:color w:val="2E74B5"/>
    </w:rPr>
  </w:style>
  <w:style w:type="paragraph" w:styleId="Titre5">
    <w:name w:val="heading 5"/>
    <w:qFormat/>
    <w:pPr>
      <w:outlineLvl w:val="4"/>
    </w:pPr>
    <w:rPr>
      <w:color w:val="2E74B5"/>
    </w:rPr>
  </w:style>
  <w:style w:type="paragraph" w:styleId="Titre6">
    <w:name w:val="heading 6"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Margaux Berthier</cp:lastModifiedBy>
  <cp:revision>3</cp:revision>
  <dcterms:created xsi:type="dcterms:W3CDTF">2026-03-23T17:01:00Z</dcterms:created>
  <dcterms:modified xsi:type="dcterms:W3CDTF">2026-03-23T19:44:00Z</dcterms:modified>
</cp:coreProperties>
</file>